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5D22" w14:textId="77777777" w:rsidR="005E7D53" w:rsidRDefault="005E7D53" w:rsidP="005E7D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14:paraId="1AC1A65D" w14:textId="1071EEEE" w:rsidR="005E7D53" w:rsidRDefault="005E7D53" w:rsidP="005E7D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 (วันที่ ๑ ตุลาคม ๒๕๖</w:t>
      </w:r>
      <w:r w:rsidR="00D4647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217FC6E" w14:textId="77777777" w:rsidR="005E7D53" w:rsidRDefault="005E7D53" w:rsidP="005E7D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14:paraId="3D3BB5BE" w14:textId="77777777" w:rsidR="005E7D53" w:rsidRDefault="005E7D53" w:rsidP="005E7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14:paraId="36B81330" w14:textId="31807265" w:rsidR="005E7D53" w:rsidRPr="00D4513F" w:rsidRDefault="005E7D53" w:rsidP="00D4513F">
      <w:pPr>
        <w:pStyle w:val="ListParagraph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>ง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ประจำครั้งที่ ๒ (๑ ตุลาคม ๒๕๖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>๒</w:t>
      </w: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) ให้อยู่ภายในวงเงินเลื่อนขั้นร้อยละ ๖ 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ของจำนวนอัตราค่าจ้างที่มีผู้ครองอยู่ ณ วันที่ ๑ กันยายน ๒๕๖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>๒</w:t>
      </w: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 โดยให้นำจำนวนเงินที่ได้ใช้ในการเลื่อนครึ่งปีแรก (วันที่ ๑ เมษายน ๒๕๖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>๒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) มาหักออกก่อน (ไม่รวมค่าตอบแทนพิเศษ)</w:t>
      </w:r>
    </w:p>
    <w:p w14:paraId="4EC4F81F" w14:textId="0811694A" w:rsidR="005E7D53" w:rsidRPr="00D4513F" w:rsidRDefault="005E7D53" w:rsidP="00D4513F">
      <w:pPr>
        <w:pStyle w:val="ListParagraph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>จำนวนผู้ที่ได้รับการเลื่อนขั้นค่าจ้างรวมกันทั้งปีสองขั้นจะต้องไม่เกินร้อยละ ๑๕ ของจำนวนลูกจ้างประจำที่ครองอยู่ ณ วันที่ ๑ กันยายน ๒๕๖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56F9560" w14:textId="776E6D93" w:rsidR="005E7D53" w:rsidRPr="00D4513F" w:rsidRDefault="005E7D53" w:rsidP="00D4513F">
      <w:pPr>
        <w:pStyle w:val="ListParagraph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การเลื่อนขั้นค่าจ้างลูกจ้างประจำให้พิจารณาจากผลการประเมินประสิทธิภาพและประสิทธิผล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การปฏิบัติงานตามหลักเกณฑ์ที่กระทรวงการคลังกำหนด ดังนี้</w:t>
      </w:r>
    </w:p>
    <w:p w14:paraId="54C27517" w14:textId="77777777" w:rsidR="005E7D53" w:rsidRPr="00D4513F" w:rsidRDefault="005E7D53" w:rsidP="005E7D53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5E7D53" w14:paraId="586A3D6E" w14:textId="77777777" w:rsidTr="00DC7073">
        <w:tc>
          <w:tcPr>
            <w:tcW w:w="2323" w:type="dxa"/>
          </w:tcPr>
          <w:p w14:paraId="4312DEE1" w14:textId="77777777" w:rsidR="005E7D53" w:rsidRPr="009859A2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14:paraId="45FD2A51" w14:textId="77777777" w:rsidR="005E7D53" w:rsidRPr="009859A2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14:paraId="1C4D3155" w14:textId="77777777" w:rsidR="005E7D53" w:rsidRPr="009859A2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5E7D53" w14:paraId="75469A19" w14:textId="77777777" w:rsidTr="00DC7073">
        <w:tc>
          <w:tcPr>
            <w:tcW w:w="2323" w:type="dxa"/>
          </w:tcPr>
          <w:p w14:paraId="7EC37D99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14:paraId="2CB65237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14:paraId="697CD6BA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5E7D53" w14:paraId="1DB2F829" w14:textId="77777777" w:rsidTr="00DC7073">
        <w:tc>
          <w:tcPr>
            <w:tcW w:w="2323" w:type="dxa"/>
          </w:tcPr>
          <w:p w14:paraId="3092ACF1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14:paraId="060156C5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14:paraId="7C6A8666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5E7D53" w14:paraId="6D07E1F3" w14:textId="77777777" w:rsidTr="00DC7073">
        <w:tc>
          <w:tcPr>
            <w:tcW w:w="2323" w:type="dxa"/>
          </w:tcPr>
          <w:p w14:paraId="75E6EF2B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14:paraId="37724041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14:paraId="3517CC5D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14:paraId="62742322" w14:textId="77777777" w:rsidR="005E7D53" w:rsidRPr="009859A2" w:rsidRDefault="005E7D53" w:rsidP="005E7D53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14:paraId="1C74B2EF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14:paraId="44013DA9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14:paraId="7EA75721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14:paraId="74C68BEA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14:paraId="7FF284D1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14:paraId="15DE4D06" w14:textId="0B7F5B4F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14:paraId="0C3DA5D7" w14:textId="77777777" w:rsidR="005E7D53" w:rsidRDefault="005E7D53" w:rsidP="00D451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340FE799" w14:textId="5A77D2A3" w:rsidR="005E7D53" w:rsidRPr="00D4513F" w:rsidRDefault="005E7D53" w:rsidP="00D4513F">
      <w:pPr>
        <w:pStyle w:val="ListParagraph"/>
        <w:numPr>
          <w:ilvl w:val="0"/>
          <w:numId w:val="3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พิจารณาเลื่อนขั้นค่าจ้างลูกจ้างประจำตามผลการประเมินฯ และกรอกรายละเอียดการพิจารณาเลื่อนขั้นของลูกจ้างประจำ ครั้งที่ ๒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3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D4513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๒๕๖</w:t>
      </w:r>
      <w:r w:rsidR="00D4513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61349ECA" w14:textId="2961634D" w:rsidR="005E7D53" w:rsidRPr="00D4513F" w:rsidRDefault="005E7D53" w:rsidP="00D4513F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firstLine="414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D4513F"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r w:rsidR="00D4513F">
        <w:fldChar w:fldCharType="begin"/>
      </w:r>
      <w:r w:rsidR="00D4513F">
        <w:instrText xml:space="preserve"> HYPERLINK "http://www.perso</w:instrText>
      </w:r>
      <w:r w:rsidR="00D4513F">
        <w:instrText xml:space="preserve">nnel.nu.ac.th/" </w:instrText>
      </w:r>
      <w:r w:rsidR="00D4513F">
        <w:fldChar w:fldCharType="separate"/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t>http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://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t>www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t>personnel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t>nu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t>ac</w:t>
      </w:r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D4513F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4513F" w:rsidRPr="00D4513F">
        <w:rPr>
          <w:rStyle w:val="Hyperlink"/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1E227BBE" w14:textId="77777777" w:rsidR="00D4647A" w:rsidRDefault="00D4647A" w:rsidP="00D4513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E720050" w14:textId="77777777" w:rsidR="005E7D53" w:rsidRDefault="005E7D53" w:rsidP="00D4513F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Call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Center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14:paraId="26F1B93F" w14:textId="2BF1F234" w:rsidR="00FE1F09" w:rsidRDefault="005E7D53" w:rsidP="00D4513F">
      <w:pPr>
        <w:pStyle w:val="ListParagraph"/>
        <w:spacing w:after="0" w:line="240" w:lineRule="auto"/>
        <w:ind w:left="36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บุคลากรปฏิบัติการ</w:t>
      </w:r>
    </w:p>
    <w:sectPr w:rsidR="00FE1F09" w:rsidSect="00D4647A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573"/>
    <w:multiLevelType w:val="hybridMultilevel"/>
    <w:tmpl w:val="4F62B744"/>
    <w:lvl w:ilvl="0" w:tplc="38B6FF7E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74CD5"/>
    <w:multiLevelType w:val="hybridMultilevel"/>
    <w:tmpl w:val="1C3ECEDA"/>
    <w:lvl w:ilvl="0" w:tplc="39D290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53"/>
    <w:rsid w:val="00345877"/>
    <w:rsid w:val="004932FF"/>
    <w:rsid w:val="005E7D53"/>
    <w:rsid w:val="00AE356C"/>
    <w:rsid w:val="00D4513F"/>
    <w:rsid w:val="00D4647A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CAD1"/>
  <w15:chartTrackingRefBased/>
  <w15:docId w15:val="{319C3015-0C8A-4748-85E3-63C595A4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53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53"/>
    <w:pPr>
      <w:ind w:left="720"/>
      <w:contextualSpacing/>
    </w:pPr>
  </w:style>
  <w:style w:type="table" w:styleId="TableGrid">
    <w:name w:val="Table Grid"/>
    <w:basedOn w:val="TableNormal"/>
    <w:uiPriority w:val="39"/>
    <w:rsid w:val="005E7D5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wint</cp:lastModifiedBy>
  <cp:revision>5</cp:revision>
  <dcterms:created xsi:type="dcterms:W3CDTF">2019-08-16T02:35:00Z</dcterms:created>
  <dcterms:modified xsi:type="dcterms:W3CDTF">2019-08-16T03:38:00Z</dcterms:modified>
</cp:coreProperties>
</file>